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EF7" w14:textId="77777777" w:rsidR="00B868E5" w:rsidRPr="005C0B42" w:rsidRDefault="00B868E5" w:rsidP="00B868E5">
      <w:pPr>
        <w:rPr>
          <w:b/>
          <w:bCs/>
          <w:kern w:val="28"/>
          <w:sz w:val="24"/>
          <w:szCs w:val="24"/>
        </w:rPr>
      </w:pPr>
      <w:r w:rsidRPr="005C0B42">
        <w:rPr>
          <w:b/>
          <w:bCs/>
          <w:kern w:val="28"/>
          <w:sz w:val="24"/>
          <w:szCs w:val="24"/>
        </w:rPr>
        <w:t>Taotlusvorm riigieelarvelise toetuse taotlemiseks</w:t>
      </w:r>
    </w:p>
    <w:p w14:paraId="42A6238A" w14:textId="77777777" w:rsidR="00B868E5" w:rsidRPr="005C0B42" w:rsidRDefault="00B868E5" w:rsidP="00B868E5">
      <w:pPr>
        <w:jc w:val="center"/>
        <w:rPr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5753"/>
      </w:tblGrid>
      <w:tr w:rsidR="00640DAE" w:rsidRPr="005C0B42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5C0B42" w:rsidRDefault="00640DAE" w:rsidP="007B1FEB">
            <w:pPr>
              <w:rPr>
                <w:bCs/>
                <w:kern w:val="28"/>
                <w:sz w:val="24"/>
                <w:szCs w:val="24"/>
              </w:rPr>
            </w:pPr>
            <w:r w:rsidRPr="005C0B42">
              <w:rPr>
                <w:bCs/>
                <w:kern w:val="28"/>
                <w:sz w:val="24"/>
                <w:szCs w:val="24"/>
              </w:rPr>
              <w:t>Taotleja nimi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1073029A" w:rsidR="00640DAE" w:rsidRPr="005C0B42" w:rsidRDefault="00F46B7D" w:rsidP="007B1FEB">
            <w:pPr>
              <w:rPr>
                <w:b/>
                <w:bCs/>
                <w:kern w:val="28"/>
                <w:sz w:val="24"/>
                <w:szCs w:val="24"/>
              </w:rPr>
            </w:pPr>
            <w:r w:rsidRPr="005C0B42">
              <w:rPr>
                <w:kern w:val="28"/>
                <w:sz w:val="24"/>
                <w:szCs w:val="24"/>
              </w:rPr>
              <w:t>Sihtasutus Hiiumaa Arenduskeskus, reg kood</w:t>
            </w:r>
            <w:r w:rsidRPr="005C0B42"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 w:rsidRPr="005C0B42">
              <w:rPr>
                <w:color w:val="111111"/>
                <w:sz w:val="24"/>
                <w:szCs w:val="24"/>
                <w:shd w:val="clear" w:color="auto" w:fill="FFFFFF"/>
              </w:rPr>
              <w:t>90014030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0D43B17F" w:rsidR="00640DAE" w:rsidRPr="00F46B7D" w:rsidRDefault="00F46B7D" w:rsidP="00F46B7D">
            <w:pPr>
              <w:rPr>
                <w:b/>
                <w:bCs/>
                <w:kern w:val="28"/>
                <w:sz w:val="24"/>
                <w:szCs w:val="24"/>
              </w:rPr>
            </w:pPr>
            <w:r w:rsidRPr="00F46B7D">
              <w:rPr>
                <w:sz w:val="24"/>
                <w:szCs w:val="24"/>
              </w:rPr>
              <w:t>Hiiu maakond, Hiiumaa vald, Kärdla linn, Keskväljak 5a, 92413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5FCB3380" w:rsidR="00640DAE" w:rsidRPr="003257AF" w:rsidRDefault="00F46B7D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3257AF">
              <w:rPr>
                <w:color w:val="111111"/>
                <w:sz w:val="24"/>
                <w:szCs w:val="24"/>
                <w:shd w:val="clear" w:color="auto" w:fill="FFFFFF"/>
              </w:rPr>
              <w:t>Coop Pank AS</w:t>
            </w:r>
            <w:r w:rsidRPr="003257AF">
              <w:rPr>
                <w:color w:val="111111"/>
                <w:sz w:val="24"/>
                <w:szCs w:val="24"/>
              </w:rPr>
              <w:br/>
            </w:r>
            <w:r w:rsidRPr="003257AF">
              <w:rPr>
                <w:color w:val="111111"/>
                <w:sz w:val="24"/>
                <w:szCs w:val="24"/>
                <w:shd w:val="clear" w:color="auto" w:fill="FFFFFF"/>
              </w:rPr>
              <w:t>IBAN: EE794204278617879708</w:t>
            </w:r>
            <w:r w:rsidRPr="003257AF">
              <w:rPr>
                <w:color w:val="111111"/>
                <w:sz w:val="24"/>
                <w:szCs w:val="24"/>
              </w:rPr>
              <w:br/>
            </w:r>
            <w:r w:rsidRPr="003257AF">
              <w:rPr>
                <w:color w:val="111111"/>
                <w:sz w:val="24"/>
                <w:szCs w:val="24"/>
                <w:shd w:val="clear" w:color="auto" w:fill="FFFFFF"/>
              </w:rPr>
              <w:t>SWIFT/BIC: EKRDEE22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6BC77236" w:rsidR="00640DAE" w:rsidRPr="003257AF" w:rsidRDefault="00F46B7D" w:rsidP="00A47049">
            <w:pPr>
              <w:rPr>
                <w:bCs/>
                <w:iCs/>
                <w:color w:val="808080"/>
                <w:kern w:val="28"/>
                <w:sz w:val="24"/>
                <w:szCs w:val="24"/>
                <w:lang w:val="en-GB"/>
              </w:rPr>
            </w:pPr>
            <w:r w:rsidRPr="003257AF">
              <w:rPr>
                <w:bCs/>
                <w:iCs/>
                <w:kern w:val="28"/>
                <w:sz w:val="24"/>
                <w:szCs w:val="24"/>
                <w:lang w:val="en-GB"/>
              </w:rPr>
              <w:t>5000 eurot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F46B7D" w:rsidRDefault="00430D0A" w:rsidP="007B1FEB">
            <w:pPr>
              <w:rPr>
                <w:sz w:val="24"/>
                <w:szCs w:val="24"/>
              </w:rPr>
            </w:pPr>
            <w:r w:rsidRPr="00F46B7D">
              <w:rPr>
                <w:sz w:val="24"/>
                <w:szCs w:val="24"/>
              </w:rPr>
              <w:t>Toetuse nimetus</w:t>
            </w:r>
            <w:r w:rsidR="009A6805" w:rsidRPr="00F46B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6782FAFF" w:rsidR="00430D0A" w:rsidRPr="003257AF" w:rsidRDefault="00754663" w:rsidP="007B1FEB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Hiiumaa noorte stipendiumifondi </w:t>
            </w:r>
            <w:r w:rsidR="00F46B7D" w:rsidRPr="003257AF">
              <w:rPr>
                <w:sz w:val="24"/>
                <w:szCs w:val="24"/>
              </w:rPr>
              <w:t>loomine kõrghariduse omandamise toetamiseks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386F12B4" w14:textId="083D9316" w:rsidR="00A8421A" w:rsidRPr="003257AF" w:rsidRDefault="007A2B17" w:rsidP="007B1FEB">
            <w:pPr>
              <w:rPr>
                <w:i/>
                <w:sz w:val="24"/>
                <w:szCs w:val="24"/>
              </w:rPr>
            </w:pPr>
            <w:hyperlink r:id="rId7" w:history="1">
              <w:r w:rsidR="00F46B7D" w:rsidRPr="003257AF">
                <w:rPr>
                  <w:rStyle w:val="Hperlink"/>
                  <w:i/>
                  <w:sz w:val="24"/>
                  <w:szCs w:val="24"/>
                </w:rPr>
                <w:t>https://hiiumaaarenduskeskus.ee</w:t>
              </w:r>
            </w:hyperlink>
          </w:p>
          <w:p w14:paraId="277A18CA" w14:textId="4A9B072C" w:rsidR="00F46B7D" w:rsidRPr="003257AF" w:rsidRDefault="00F46B7D" w:rsidP="007B1FEB">
            <w:pPr>
              <w:rPr>
                <w:i/>
                <w:sz w:val="24"/>
                <w:szCs w:val="24"/>
              </w:rPr>
            </w:pP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F46B7D" w:rsidRDefault="00FA16E1" w:rsidP="00FA16E1">
            <w:pPr>
              <w:rPr>
                <w:b/>
                <w:bCs/>
                <w:kern w:val="28"/>
                <w:sz w:val="24"/>
                <w:szCs w:val="24"/>
                <w:lang w:val="fi-FI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1AA2057F" w:rsidR="00640DAE" w:rsidRPr="005C0B42" w:rsidRDefault="00F46B7D" w:rsidP="007B1FEB">
            <w:pPr>
              <w:rPr>
                <w:b/>
                <w:bCs/>
                <w:kern w:val="28"/>
                <w:sz w:val="24"/>
                <w:szCs w:val="24"/>
              </w:rPr>
            </w:pPr>
            <w:r w:rsidRPr="005C0B42">
              <w:rPr>
                <w:b/>
                <w:bCs/>
                <w:kern w:val="28"/>
                <w:sz w:val="24"/>
                <w:szCs w:val="24"/>
              </w:rPr>
              <w:t>Liis Lukas, SA Hiiumaa Arenduskeskuse juhatuse liige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184DDD0B" w14:textId="25C5D460" w:rsidR="00D066F0" w:rsidRPr="003257AF" w:rsidRDefault="00F46B7D" w:rsidP="007B1FEB">
            <w:pPr>
              <w:rPr>
                <w:b/>
                <w:bCs/>
                <w:kern w:val="28"/>
                <w:sz w:val="24"/>
                <w:szCs w:val="24"/>
                <w:lang w:val="fi-FI"/>
              </w:rPr>
            </w:pPr>
            <w:r w:rsidRPr="003257AF">
              <w:rPr>
                <w:b/>
                <w:bCs/>
                <w:kern w:val="28"/>
                <w:sz w:val="24"/>
                <w:szCs w:val="24"/>
                <w:lang w:val="fi-FI"/>
              </w:rPr>
              <w:t>Liis Lukas, tel 5115788, liis.lukas@hiiumaa.ee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08F21B2E" w:rsidR="00621B0F" w:rsidRPr="00754663" w:rsidRDefault="006655B3" w:rsidP="007B1FEB">
            <w:pPr>
              <w:rPr>
                <w:kern w:val="28"/>
                <w:sz w:val="24"/>
                <w:szCs w:val="24"/>
                <w:lang w:val="en-GB"/>
              </w:rPr>
            </w:pPr>
            <w:r w:rsidRPr="00754663">
              <w:rPr>
                <w:kern w:val="28"/>
                <w:sz w:val="24"/>
                <w:szCs w:val="24"/>
                <w:lang w:val="en-GB"/>
              </w:rPr>
              <w:t>27.01.2023-</w:t>
            </w:r>
            <w:r w:rsidR="005C0B42" w:rsidRPr="00754663">
              <w:rPr>
                <w:kern w:val="28"/>
                <w:sz w:val="24"/>
                <w:szCs w:val="24"/>
                <w:lang w:val="en-GB"/>
              </w:rPr>
              <w:t>31.12.2023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0E36B2B3" w14:textId="200014FD" w:rsidR="00C02E62" w:rsidRDefault="00A97A00" w:rsidP="008B66FE">
            <w:pPr>
              <w:rPr>
                <w:noProof/>
                <w:sz w:val="24"/>
                <w:szCs w:val="24"/>
              </w:rPr>
            </w:pPr>
            <w:r w:rsidRPr="00A97A00">
              <w:rPr>
                <w:noProof/>
                <w:sz w:val="24"/>
                <w:szCs w:val="24"/>
              </w:rPr>
              <w:t>SA Hiiumaa Arenduskeskus on maakonna ettevõtlus- ja külastuskeskkonna arenguvedur. Arenduskeskuse vastu</w:t>
            </w:r>
            <w:r w:rsidR="007A2B17">
              <w:rPr>
                <w:noProof/>
                <w:sz w:val="24"/>
                <w:szCs w:val="24"/>
              </w:rPr>
              <w:t>tu</w:t>
            </w:r>
            <w:r w:rsidRPr="00A97A00">
              <w:rPr>
                <w:noProof/>
                <w:sz w:val="24"/>
                <w:szCs w:val="24"/>
              </w:rPr>
              <w:t xml:space="preserve">salas on turismivaldkonna arendamine ja ettevõtlus- ning külastuskeskkonna turundamine. Veel tegeleb arenduskeskus üldiselt ettevõtlusteadlikkust tõstvate tegevustega maakonnas, sh osutab alustavale ning äsja alustanud ettevõtjale nõustamisteenust. Tegutsevale ettevõtjale pakub arenduskeskus toetusmeetmete teemalist nõustamist ja toetab koolitus- ning muude arendustegevustega. Võimalikele investoritele ollakse kontaktpunktiks ja infoga varustajaks. Arenduskeskus nõustab ja arendab vabaühendusi ning viib piirkonnas ellu „Ettevõtliku kooli“ programmi. </w:t>
            </w:r>
            <w:r w:rsidR="00C02E62">
              <w:rPr>
                <w:noProof/>
                <w:sz w:val="24"/>
                <w:szCs w:val="24"/>
              </w:rPr>
              <w:t xml:space="preserve">Arenduskeskus arendab Hiiumaal noorte ettevõtlikkust ning toetab õpetajate arengut. </w:t>
            </w:r>
            <w:r w:rsidRPr="00A97A00">
              <w:rPr>
                <w:noProof/>
                <w:sz w:val="24"/>
                <w:szCs w:val="24"/>
              </w:rPr>
              <w:t>Turismiarendus</w:t>
            </w:r>
            <w:r w:rsidR="007A2B17">
              <w:rPr>
                <w:noProof/>
                <w:sz w:val="24"/>
                <w:szCs w:val="24"/>
              </w:rPr>
              <w:t>t</w:t>
            </w:r>
            <w:r w:rsidRPr="00A97A00">
              <w:rPr>
                <w:noProof/>
                <w:sz w:val="24"/>
                <w:szCs w:val="24"/>
              </w:rPr>
              <w:t>egevustega tegeletakse aastast 2014.</w:t>
            </w:r>
            <w:r w:rsidR="00C02E62">
              <w:rPr>
                <w:noProof/>
                <w:sz w:val="24"/>
                <w:szCs w:val="24"/>
              </w:rPr>
              <w:t xml:space="preserve"> </w:t>
            </w:r>
          </w:p>
          <w:p w14:paraId="4FE90EEC" w14:textId="2200A7EB" w:rsidR="00FB1483" w:rsidRPr="00A97A00" w:rsidRDefault="00C02E62" w:rsidP="008B66F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Arenduskeskus kuulub maakondlike arenduskeskuste võrgustikku (MAK) ning maakondlike arendusorganisatisoonide võrgustikku. 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9C607D">
        <w:trPr>
          <w:trHeight w:val="1044"/>
        </w:trPr>
        <w:tc>
          <w:tcPr>
            <w:tcW w:w="9062" w:type="dxa"/>
            <w:gridSpan w:val="3"/>
            <w:shd w:val="clear" w:color="auto" w:fill="auto"/>
          </w:tcPr>
          <w:p w14:paraId="2335B174" w14:textId="2D96CAE5" w:rsidR="00FB1483" w:rsidRPr="009C607D" w:rsidRDefault="00F46B7D" w:rsidP="00640DAE">
            <w:pPr>
              <w:rPr>
                <w:noProof/>
                <w:sz w:val="24"/>
                <w:szCs w:val="24"/>
              </w:rPr>
            </w:pPr>
            <w:r w:rsidRPr="009C607D">
              <w:rPr>
                <w:noProof/>
                <w:sz w:val="24"/>
                <w:szCs w:val="24"/>
              </w:rPr>
              <w:t>SA Hiiumaa Arenduskeskuse juurde on loodud fond, kust toetatakse Hiiumaa noorte kõrghariduse omandamist.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C02E62">
        <w:trPr>
          <w:trHeight w:val="841"/>
        </w:trPr>
        <w:tc>
          <w:tcPr>
            <w:tcW w:w="9062" w:type="dxa"/>
            <w:gridSpan w:val="3"/>
            <w:shd w:val="clear" w:color="auto" w:fill="auto"/>
          </w:tcPr>
          <w:p w14:paraId="0321BE65" w14:textId="7A66036F" w:rsidR="00FB1483" w:rsidRDefault="00A97A00" w:rsidP="00FB1483">
            <w:pPr>
              <w:rPr>
                <w:bCs/>
                <w:noProof/>
                <w:sz w:val="24"/>
                <w:szCs w:val="24"/>
              </w:rPr>
            </w:pPr>
            <w:r w:rsidRPr="00A97A00">
              <w:rPr>
                <w:bCs/>
                <w:noProof/>
                <w:sz w:val="24"/>
                <w:szCs w:val="24"/>
              </w:rPr>
              <w:t>Hiiumaa on võrreldes teiste maakondadega üks madalamate sissetulekutega piirkond. Seetõttu on ka siinsete noorte võimalused edasiõppimiseks ning enda arendamiseks piiratumad. Kui noored ka lahkuvad Hiiumaalt edasi kõrgharid</w:t>
            </w:r>
            <w:r w:rsidR="007A2B17">
              <w:rPr>
                <w:bCs/>
                <w:noProof/>
                <w:sz w:val="24"/>
                <w:szCs w:val="24"/>
              </w:rPr>
              <w:t>u</w:t>
            </w:r>
            <w:r w:rsidRPr="00A97A00">
              <w:rPr>
                <w:bCs/>
                <w:noProof/>
                <w:sz w:val="24"/>
                <w:szCs w:val="24"/>
              </w:rPr>
              <w:t>st oma</w:t>
            </w:r>
            <w:r w:rsidR="007A2B17">
              <w:rPr>
                <w:bCs/>
                <w:noProof/>
                <w:sz w:val="24"/>
                <w:szCs w:val="24"/>
              </w:rPr>
              <w:t>nda</w:t>
            </w:r>
            <w:r w:rsidRPr="00A97A00">
              <w:rPr>
                <w:bCs/>
                <w:noProof/>
                <w:sz w:val="24"/>
                <w:szCs w:val="24"/>
              </w:rPr>
              <w:t xml:space="preserve">ma kas mandrile või välismaale, siis tihtipelae kaob ka ära nende side oma kodusaarega. </w:t>
            </w:r>
          </w:p>
          <w:p w14:paraId="5E8E2B8A" w14:textId="4EA7F98B" w:rsidR="00A97A00" w:rsidRPr="00A97A00" w:rsidRDefault="00A97A00" w:rsidP="00FB1483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lastRenderedPageBreak/>
              <w:t>S</w:t>
            </w:r>
            <w:r w:rsidR="007A2B17">
              <w:rPr>
                <w:bCs/>
                <w:noProof/>
                <w:sz w:val="24"/>
                <w:szCs w:val="24"/>
              </w:rPr>
              <w:t>t</w:t>
            </w:r>
            <w:r>
              <w:rPr>
                <w:bCs/>
                <w:noProof/>
                <w:sz w:val="24"/>
                <w:szCs w:val="24"/>
              </w:rPr>
              <w:t>ipendiumifondiga soovime muuta kõrghariduse omandamist Hiiumaa noortele kättesaadava</w:t>
            </w:r>
            <w:r w:rsidR="007A2B17">
              <w:rPr>
                <w:bCs/>
                <w:noProof/>
                <w:sz w:val="24"/>
                <w:szCs w:val="24"/>
              </w:rPr>
              <w:t>m</w:t>
            </w:r>
            <w:r>
              <w:rPr>
                <w:bCs/>
                <w:noProof/>
                <w:sz w:val="24"/>
                <w:szCs w:val="24"/>
              </w:rPr>
              <w:t xml:space="preserve">aks ning luua parem side siit lahkunud noortega. 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46B7D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fi-FI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0CB1E81B" w14:textId="7075FCFF" w:rsidR="006655B3" w:rsidRPr="00C02E62" w:rsidRDefault="00C02E62" w:rsidP="006655B3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sz w:val="24"/>
                <w:szCs w:val="24"/>
              </w:rPr>
            </w:pPr>
            <w:r w:rsidRPr="00C02E62">
              <w:rPr>
                <w:bCs/>
                <w:noProof/>
                <w:sz w:val="24"/>
                <w:szCs w:val="24"/>
              </w:rPr>
              <w:t>F</w:t>
            </w:r>
            <w:r w:rsidR="00402666" w:rsidRPr="00C02E62">
              <w:rPr>
                <w:bCs/>
                <w:noProof/>
                <w:sz w:val="24"/>
                <w:szCs w:val="24"/>
              </w:rPr>
              <w:t>ondi eesmärkide ja stipendiumi s</w:t>
            </w:r>
            <w:r w:rsidR="006655B3" w:rsidRPr="00C02E62">
              <w:rPr>
                <w:bCs/>
                <w:noProof/>
                <w:sz w:val="24"/>
                <w:szCs w:val="24"/>
              </w:rPr>
              <w:t>tatuudi koostamine</w:t>
            </w:r>
            <w:r w:rsidR="00A97A00" w:rsidRPr="00C02E62">
              <w:rPr>
                <w:bCs/>
                <w:noProof/>
                <w:sz w:val="24"/>
                <w:szCs w:val="24"/>
              </w:rPr>
              <w:t>, kaasamine</w:t>
            </w:r>
            <w:r w:rsidR="009C607D" w:rsidRPr="00C02E62">
              <w:rPr>
                <w:bCs/>
                <w:noProof/>
                <w:sz w:val="24"/>
                <w:szCs w:val="24"/>
              </w:rPr>
              <w:t xml:space="preserve"> (2023 I kvartal)</w:t>
            </w:r>
          </w:p>
          <w:p w14:paraId="455A4A4C" w14:textId="7A2B0463" w:rsidR="00FB1483" w:rsidRPr="00C02E62" w:rsidRDefault="00402666" w:rsidP="003257AF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C02E62">
              <w:rPr>
                <w:bCs/>
                <w:noProof/>
                <w:color w:val="000000" w:themeColor="text1"/>
                <w:sz w:val="24"/>
                <w:szCs w:val="24"/>
              </w:rPr>
              <w:t>Algatatakse</w:t>
            </w:r>
            <w:r w:rsidR="003257AF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Eesti Rahvuskultuuri Fondi allfond</w:t>
            </w:r>
            <w:r w:rsidR="00C02E62" w:rsidRPr="00C02E62">
              <w:rPr>
                <w:bCs/>
                <w:noProof/>
                <w:color w:val="000000" w:themeColor="text1"/>
                <w:sz w:val="24"/>
                <w:szCs w:val="24"/>
              </w:rPr>
              <w:t>i loomine</w:t>
            </w:r>
            <w:r w:rsidR="006655B3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C607D" w:rsidRPr="00C02E62">
              <w:rPr>
                <w:bCs/>
                <w:noProof/>
                <w:color w:val="000000" w:themeColor="text1"/>
                <w:sz w:val="24"/>
                <w:szCs w:val="24"/>
              </w:rPr>
              <w:t>(2023 II kvartal)</w:t>
            </w:r>
          </w:p>
          <w:p w14:paraId="3AC876D8" w14:textId="1091BF1C" w:rsidR="00C02E62" w:rsidRPr="00C02E62" w:rsidRDefault="003257AF" w:rsidP="00C02E62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Otsitakse juurde </w:t>
            </w:r>
            <w:r w:rsidR="009C607D" w:rsidRPr="00C02E62">
              <w:rPr>
                <w:bCs/>
                <w:noProof/>
                <w:color w:val="000000" w:themeColor="text1"/>
                <w:sz w:val="24"/>
                <w:szCs w:val="24"/>
              </w:rPr>
              <w:t>fondi rahaliselt panustajaid</w:t>
            </w:r>
            <w:r w:rsidR="00402666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st alustatakse </w:t>
            </w:r>
            <w:r w:rsidR="009C607D" w:rsidRPr="00C02E62">
              <w:rPr>
                <w:bCs/>
                <w:noProof/>
                <w:color w:val="000000" w:themeColor="text1"/>
                <w:sz w:val="24"/>
                <w:szCs w:val="24"/>
              </w:rPr>
              <w:t>rahaliste toetuste</w:t>
            </w:r>
            <w:r w:rsidR="00402666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kogumist allfondi moodustamiseks</w:t>
            </w:r>
            <w:r w:rsidR="009C607D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(nt kohalik omavalitsus, ettevõtjad, eraisikud) (2023</w:t>
            </w:r>
            <w:r w:rsidR="00C02E62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 III kvartal)</w:t>
            </w:r>
          </w:p>
          <w:p w14:paraId="6E755D32" w14:textId="7D2DE22C" w:rsidR="003257AF" w:rsidRPr="00C02E62" w:rsidRDefault="003257AF" w:rsidP="003257AF">
            <w:pPr>
              <w:pStyle w:val="Loendilik"/>
              <w:numPr>
                <w:ilvl w:val="0"/>
                <w:numId w:val="3"/>
              </w:numPr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10 000 euro täitumisel </w:t>
            </w:r>
            <w:r w:rsidR="00C02E62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viiakse läbi stipendiumikonkurss ning </w:t>
            </w:r>
            <w:r w:rsidRPr="00C02E62">
              <w:rPr>
                <w:bCs/>
                <w:noProof/>
                <w:color w:val="000000" w:themeColor="text1"/>
                <w:sz w:val="24"/>
                <w:szCs w:val="24"/>
              </w:rPr>
              <w:t>tehakse esimesed väljamaksed</w:t>
            </w:r>
            <w:r w:rsidR="00C02E62" w:rsidRPr="00C02E62">
              <w:rPr>
                <w:bCs/>
                <w:noProof/>
                <w:color w:val="000000" w:themeColor="text1"/>
                <w:sz w:val="24"/>
                <w:szCs w:val="24"/>
              </w:rPr>
              <w:t xml:space="preserve">. </w:t>
            </w:r>
          </w:p>
          <w:p w14:paraId="3A727759" w14:textId="1D5D88E6" w:rsidR="003257AF" w:rsidRPr="00C02E62" w:rsidRDefault="00402666" w:rsidP="00402666">
            <w:pPr>
              <w:ind w:left="360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C02E6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Allfondi algatamiseks tehtav annetus peab olema vähemalt 1 000 </w:t>
            </w:r>
            <w:r w:rsidR="00C02E62" w:rsidRPr="00C02E6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euro</w:t>
            </w:r>
            <w:r w:rsidRPr="00C02E6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suurune, sellega alustatakse </w:t>
            </w:r>
            <w:r w:rsidR="00C02E62" w:rsidRPr="00C02E6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rahaliste toetuste</w:t>
            </w:r>
            <w:r w:rsidRPr="00C02E6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kogumist allfondi moodustamiseks. Väljamaksete tegemist alustatakse pärast põhikapitali 10 000 eurose piiri ületamist.</w:t>
            </w:r>
          </w:p>
          <w:p w14:paraId="57BD7617" w14:textId="1A7CEB44" w:rsidR="003257AF" w:rsidRPr="00D92B45" w:rsidRDefault="003257AF" w:rsidP="00843F39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53153202" w:rsidR="00FB1483" w:rsidRPr="009C607D" w:rsidRDefault="009C607D" w:rsidP="00843F39">
            <w:pPr>
              <w:rPr>
                <w:bCs/>
                <w:noProof/>
                <w:sz w:val="24"/>
                <w:szCs w:val="24"/>
              </w:rPr>
            </w:pPr>
            <w:r w:rsidRPr="009C607D">
              <w:rPr>
                <w:bCs/>
                <w:noProof/>
                <w:sz w:val="24"/>
                <w:szCs w:val="24"/>
              </w:rPr>
              <w:t xml:space="preserve">Saadav kasu sihtrühmale ja kogukonnale on see, et Hiiumaa noortel on paremad võimalused kõrghariduse omandamiseks ning läbi kõrghariduse õpingute toetamise, tekib neil enda kodukohaga parem side. 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513CA5B8" w:rsidR="00FB1483" w:rsidRDefault="00F46B7D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Fondi </w:t>
            </w:r>
            <w:r w:rsidR="00402666">
              <w:rPr>
                <w:sz w:val="24"/>
                <w:szCs w:val="24"/>
              </w:rPr>
              <w:t>algatamine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1655C949" w:rsidR="00FB1483" w:rsidRDefault="00F46B7D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5AD4FE60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6B9827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382F9991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DED62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0585030E" w:rsidR="00FB1483" w:rsidRPr="00FB1483" w:rsidRDefault="00F46B7D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46DC76CE" w:rsidR="00FB1483" w:rsidRPr="009C607D" w:rsidRDefault="003257AF" w:rsidP="00FB1483">
            <w:pPr>
              <w:rPr>
                <w:noProof/>
                <w:sz w:val="24"/>
                <w:szCs w:val="24"/>
              </w:rPr>
            </w:pPr>
            <w:r w:rsidRPr="009C607D">
              <w:rPr>
                <w:noProof/>
                <w:sz w:val="24"/>
                <w:szCs w:val="24"/>
              </w:rPr>
              <w:t>Kuna fond luuakse Eesti Rahvuskultuuri Fondi allfondina ja õ</w:t>
            </w:r>
            <w:r w:rsidRPr="009C607D">
              <w:rPr>
                <w:color w:val="333333"/>
                <w:sz w:val="24"/>
                <w:szCs w:val="24"/>
                <w:shd w:val="clear" w:color="auto" w:fill="FFFFFF"/>
              </w:rPr>
              <w:t xml:space="preserve">iguse allfondi loomiseks annab vähemalt 1000 euro suurune annetus, siis soovime </w:t>
            </w:r>
            <w:r w:rsidR="005C0B42" w:rsidRPr="009C607D">
              <w:rPr>
                <w:color w:val="333333"/>
                <w:sz w:val="24"/>
                <w:szCs w:val="24"/>
                <w:shd w:val="clear" w:color="auto" w:fill="FFFFFF"/>
              </w:rPr>
              <w:t xml:space="preserve">erinevatelt </w:t>
            </w:r>
            <w:r w:rsidR="00C02E62">
              <w:rPr>
                <w:color w:val="333333"/>
                <w:sz w:val="24"/>
                <w:szCs w:val="24"/>
                <w:shd w:val="clear" w:color="auto" w:fill="FFFFFF"/>
              </w:rPr>
              <w:t>panustajatelt</w:t>
            </w:r>
            <w:r w:rsidR="005C0B42" w:rsidRPr="009C607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C607D">
              <w:rPr>
                <w:color w:val="333333"/>
                <w:sz w:val="24"/>
                <w:szCs w:val="24"/>
                <w:shd w:val="clear" w:color="auto" w:fill="FFFFFF"/>
              </w:rPr>
              <w:t>juurde saada vähemalt 5000 eurot enne kui saame väljamaksete tegemist alustada.</w:t>
            </w: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lastRenderedPageBreak/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4C4DA6B5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5AFCE090" w14:textId="0B8586E1" w:rsidR="004B7DFB" w:rsidRDefault="004B7DFB">
      <w:pPr>
        <w:rPr>
          <w:sz w:val="24"/>
          <w:szCs w:val="24"/>
        </w:rPr>
      </w:pPr>
      <w:r>
        <w:rPr>
          <w:sz w:val="24"/>
          <w:szCs w:val="24"/>
        </w:rPr>
        <w:t>Liis Lukas</w:t>
      </w:r>
    </w:p>
    <w:p w14:paraId="1C940F1A" w14:textId="09DCD00B" w:rsidR="004B7DFB" w:rsidRDefault="004B7DFB">
      <w:pPr>
        <w:rPr>
          <w:sz w:val="24"/>
          <w:szCs w:val="24"/>
        </w:rPr>
      </w:pPr>
      <w:r>
        <w:rPr>
          <w:sz w:val="24"/>
          <w:szCs w:val="24"/>
        </w:rPr>
        <w:t>SA Hiiumaa Arenduskeskus</w:t>
      </w:r>
    </w:p>
    <w:p w14:paraId="7725FD7A" w14:textId="5D59B36C" w:rsidR="004B7DFB" w:rsidRDefault="004B7DFB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FB31" w14:textId="77777777" w:rsidR="001D027F" w:rsidRDefault="001D027F" w:rsidP="00B868E5">
      <w:r>
        <w:separator/>
      </w:r>
    </w:p>
  </w:endnote>
  <w:endnote w:type="continuationSeparator" w:id="0">
    <w:p w14:paraId="498AAEE5" w14:textId="77777777" w:rsidR="001D027F" w:rsidRDefault="001D027F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02D7" w14:textId="77777777" w:rsidR="001D027F" w:rsidRDefault="001D027F" w:rsidP="00B868E5">
      <w:r>
        <w:separator/>
      </w:r>
    </w:p>
  </w:footnote>
  <w:footnote w:type="continuationSeparator" w:id="0">
    <w:p w14:paraId="46DE8827" w14:textId="77777777" w:rsidR="001D027F" w:rsidRDefault="001D027F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97"/>
    <w:multiLevelType w:val="hybridMultilevel"/>
    <w:tmpl w:val="9C74A5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8704878">
    <w:abstractNumId w:val="1"/>
  </w:num>
  <w:num w:numId="2" w16cid:durableId="1533113117">
    <w:abstractNumId w:val="2"/>
  </w:num>
  <w:num w:numId="3" w16cid:durableId="63957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DE"/>
    <w:rsid w:val="00006FDE"/>
    <w:rsid w:val="00076380"/>
    <w:rsid w:val="000B2634"/>
    <w:rsid w:val="001117B3"/>
    <w:rsid w:val="00137B6D"/>
    <w:rsid w:val="00140132"/>
    <w:rsid w:val="00183283"/>
    <w:rsid w:val="001A0ABE"/>
    <w:rsid w:val="001D027F"/>
    <w:rsid w:val="001F18C2"/>
    <w:rsid w:val="00203AC9"/>
    <w:rsid w:val="00231EDB"/>
    <w:rsid w:val="002659DD"/>
    <w:rsid w:val="00280F3F"/>
    <w:rsid w:val="002A036A"/>
    <w:rsid w:val="002C6391"/>
    <w:rsid w:val="002D2AA8"/>
    <w:rsid w:val="002E56D3"/>
    <w:rsid w:val="003216BC"/>
    <w:rsid w:val="00324249"/>
    <w:rsid w:val="003257AF"/>
    <w:rsid w:val="00346377"/>
    <w:rsid w:val="00353AF6"/>
    <w:rsid w:val="00355ACA"/>
    <w:rsid w:val="00356C59"/>
    <w:rsid w:val="003D663C"/>
    <w:rsid w:val="003E0218"/>
    <w:rsid w:val="00402666"/>
    <w:rsid w:val="00430D0A"/>
    <w:rsid w:val="0045055A"/>
    <w:rsid w:val="004A2E21"/>
    <w:rsid w:val="004A7BFA"/>
    <w:rsid w:val="004B7DFB"/>
    <w:rsid w:val="004D4FB7"/>
    <w:rsid w:val="005119E3"/>
    <w:rsid w:val="00520042"/>
    <w:rsid w:val="00521C25"/>
    <w:rsid w:val="00534EFC"/>
    <w:rsid w:val="00554F48"/>
    <w:rsid w:val="00594AA6"/>
    <w:rsid w:val="00595E46"/>
    <w:rsid w:val="005B5076"/>
    <w:rsid w:val="005C0B42"/>
    <w:rsid w:val="005C3DA5"/>
    <w:rsid w:val="005E121A"/>
    <w:rsid w:val="00621B0F"/>
    <w:rsid w:val="00640DAE"/>
    <w:rsid w:val="006655B3"/>
    <w:rsid w:val="00683330"/>
    <w:rsid w:val="00684040"/>
    <w:rsid w:val="00685A2A"/>
    <w:rsid w:val="0069369C"/>
    <w:rsid w:val="006A24AE"/>
    <w:rsid w:val="006C1BC6"/>
    <w:rsid w:val="006D42D4"/>
    <w:rsid w:val="006F5AEB"/>
    <w:rsid w:val="00754663"/>
    <w:rsid w:val="00785FDD"/>
    <w:rsid w:val="00797090"/>
    <w:rsid w:val="007A2B17"/>
    <w:rsid w:val="007B1FEB"/>
    <w:rsid w:val="007C2BB2"/>
    <w:rsid w:val="007E7EAA"/>
    <w:rsid w:val="00803DFC"/>
    <w:rsid w:val="008434F7"/>
    <w:rsid w:val="00844676"/>
    <w:rsid w:val="00844E65"/>
    <w:rsid w:val="00863B27"/>
    <w:rsid w:val="00866E67"/>
    <w:rsid w:val="008B25E4"/>
    <w:rsid w:val="008B66FE"/>
    <w:rsid w:val="008D192D"/>
    <w:rsid w:val="008D51AB"/>
    <w:rsid w:val="009051C7"/>
    <w:rsid w:val="0092410D"/>
    <w:rsid w:val="009376B2"/>
    <w:rsid w:val="00961E9B"/>
    <w:rsid w:val="0098455E"/>
    <w:rsid w:val="009911A6"/>
    <w:rsid w:val="009A6805"/>
    <w:rsid w:val="009B07A4"/>
    <w:rsid w:val="009B640A"/>
    <w:rsid w:val="009C187F"/>
    <w:rsid w:val="009C4B89"/>
    <w:rsid w:val="009C607D"/>
    <w:rsid w:val="009E0A8C"/>
    <w:rsid w:val="009E6D92"/>
    <w:rsid w:val="00A100AC"/>
    <w:rsid w:val="00A13218"/>
    <w:rsid w:val="00A44970"/>
    <w:rsid w:val="00A47049"/>
    <w:rsid w:val="00A72E59"/>
    <w:rsid w:val="00A8421A"/>
    <w:rsid w:val="00A97A00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68E5"/>
    <w:rsid w:val="00BB3C78"/>
    <w:rsid w:val="00BB4473"/>
    <w:rsid w:val="00BD756C"/>
    <w:rsid w:val="00BD775C"/>
    <w:rsid w:val="00BE090E"/>
    <w:rsid w:val="00C02E62"/>
    <w:rsid w:val="00C04A75"/>
    <w:rsid w:val="00C2473D"/>
    <w:rsid w:val="00C301E5"/>
    <w:rsid w:val="00C500C2"/>
    <w:rsid w:val="00C5337A"/>
    <w:rsid w:val="00C849EA"/>
    <w:rsid w:val="00CA2108"/>
    <w:rsid w:val="00CA5B8D"/>
    <w:rsid w:val="00CB7FBA"/>
    <w:rsid w:val="00D066F0"/>
    <w:rsid w:val="00D16C37"/>
    <w:rsid w:val="00D2318B"/>
    <w:rsid w:val="00D31E98"/>
    <w:rsid w:val="00D54042"/>
    <w:rsid w:val="00D92B45"/>
    <w:rsid w:val="00DA46EB"/>
    <w:rsid w:val="00DD1986"/>
    <w:rsid w:val="00DD56EA"/>
    <w:rsid w:val="00DE7006"/>
    <w:rsid w:val="00EA68D2"/>
    <w:rsid w:val="00EB2578"/>
    <w:rsid w:val="00EF1D6C"/>
    <w:rsid w:val="00F007A2"/>
    <w:rsid w:val="00F439D1"/>
    <w:rsid w:val="00F46B7D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4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iumaaarenduskesk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4424</Characters>
  <Application>Microsoft Office Word</Application>
  <DocSecurity>4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Kaja Sõrmus</cp:lastModifiedBy>
  <cp:revision>2</cp:revision>
  <dcterms:created xsi:type="dcterms:W3CDTF">2023-01-26T13:23:00Z</dcterms:created>
  <dcterms:modified xsi:type="dcterms:W3CDTF">2023-01-26T13:23:00Z</dcterms:modified>
</cp:coreProperties>
</file>